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ED7F65" w14:textId="13DDDD75" w:rsidR="00D14509" w:rsidRPr="00FD15AC" w:rsidRDefault="00D14509" w:rsidP="00FD15AC">
      <w:pPr>
        <w:spacing w:after="180" w:line="420" w:lineRule="atLeast"/>
        <w:outlineLvl w:val="0"/>
        <w:rPr>
          <w:rFonts w:ascii="Arial" w:hAnsi="Arial" w:cs="Arial"/>
          <w:b/>
          <w:bCs/>
          <w:color w:val="000000"/>
          <w:kern w:val="36"/>
          <w:sz w:val="26"/>
          <w:szCs w:val="26"/>
        </w:rPr>
      </w:pPr>
      <w:r w:rsidRPr="00BB026D">
        <w:rPr>
          <w:rFonts w:ascii="Arial" w:hAnsi="Arial" w:cs="Arial"/>
          <w:b/>
          <w:bCs/>
          <w:color w:val="000000"/>
          <w:kern w:val="36"/>
          <w:sz w:val="26"/>
          <w:szCs w:val="26"/>
        </w:rPr>
        <w:t>Cation-Responsive and Photocleavable Hydrogels from Noncanonical Amphiphilic DNA Nanostructures</w:t>
      </w:r>
    </w:p>
    <w:p w14:paraId="303CFAF7" w14:textId="6D7C9B10" w:rsidR="00D14509" w:rsidRPr="00D5303F" w:rsidRDefault="00D14509" w:rsidP="00D14509">
      <w:pPr>
        <w:rPr>
          <w:rFonts w:ascii="Arial" w:hAnsi="Arial" w:cs="Arial"/>
          <w:sz w:val="22"/>
          <w:szCs w:val="22"/>
          <w:lang w:val="it-IT"/>
        </w:rPr>
      </w:pPr>
      <w:r w:rsidRPr="00D5303F">
        <w:rPr>
          <w:rFonts w:ascii="Arial" w:hAnsi="Arial" w:cs="Arial"/>
          <w:sz w:val="22"/>
          <w:szCs w:val="22"/>
          <w:u w:val="single"/>
          <w:lang w:val="it-IT"/>
        </w:rPr>
        <w:t>Giacomo Fabrini</w:t>
      </w:r>
      <w:r w:rsidRPr="00D5303F">
        <w:rPr>
          <w:rFonts w:ascii="Arial" w:hAnsi="Arial" w:cs="Arial"/>
          <w:sz w:val="22"/>
          <w:szCs w:val="22"/>
          <w:u w:val="single"/>
          <w:vertAlign w:val="superscript"/>
          <w:lang w:val="it-IT"/>
        </w:rPr>
        <w:t>1</w:t>
      </w:r>
      <w:r w:rsidR="00136E0A">
        <w:rPr>
          <w:rFonts w:ascii="Arial" w:hAnsi="Arial" w:cs="Arial"/>
          <w:sz w:val="22"/>
          <w:szCs w:val="22"/>
          <w:lang w:val="it-IT"/>
        </w:rPr>
        <w:t xml:space="preserve"> (email: </w:t>
      </w:r>
      <w:r w:rsidR="00B851B4">
        <w:rPr>
          <w:rFonts w:ascii="Arial" w:hAnsi="Arial" w:cs="Arial"/>
          <w:sz w:val="22"/>
          <w:szCs w:val="22"/>
          <w:lang w:val="it-IT"/>
        </w:rPr>
        <w:t>g.fabrini19@imperial.ac.uk</w:t>
      </w:r>
      <w:r w:rsidR="00136E0A">
        <w:rPr>
          <w:rFonts w:ascii="Arial" w:hAnsi="Arial" w:cs="Arial"/>
          <w:sz w:val="22"/>
          <w:szCs w:val="22"/>
          <w:lang w:val="it-IT"/>
        </w:rPr>
        <w:t>),</w:t>
      </w:r>
      <w:r w:rsidRPr="00D5303F">
        <w:rPr>
          <w:rFonts w:ascii="Arial" w:hAnsi="Arial" w:cs="Arial"/>
          <w:sz w:val="22"/>
          <w:szCs w:val="22"/>
          <w:lang w:val="it-IT"/>
        </w:rPr>
        <w:t xml:space="preserve"> Aisling Minard</w:t>
      </w:r>
      <w:r w:rsidRPr="00D5303F">
        <w:rPr>
          <w:rFonts w:ascii="Arial" w:hAnsi="Arial" w:cs="Arial"/>
          <w:sz w:val="22"/>
          <w:szCs w:val="22"/>
          <w:vertAlign w:val="superscript"/>
          <w:lang w:val="it-IT"/>
        </w:rPr>
        <w:t>1</w:t>
      </w:r>
      <w:r w:rsidRPr="00D5303F">
        <w:rPr>
          <w:rFonts w:ascii="Arial" w:hAnsi="Arial" w:cs="Arial"/>
          <w:sz w:val="22"/>
          <w:szCs w:val="22"/>
          <w:lang w:val="it-IT"/>
        </w:rPr>
        <w:t>, Ryan A. Brady</w:t>
      </w:r>
      <w:r w:rsidRPr="00D5303F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Pr="00D5303F">
        <w:rPr>
          <w:rFonts w:ascii="Arial" w:hAnsi="Arial" w:cs="Arial"/>
          <w:sz w:val="22"/>
          <w:szCs w:val="22"/>
          <w:lang w:val="it-IT"/>
        </w:rPr>
        <w:t>, Marco Di Antonio</w:t>
      </w:r>
      <w:r w:rsidRPr="00D5303F">
        <w:rPr>
          <w:rFonts w:ascii="Arial" w:hAnsi="Arial" w:cs="Arial"/>
          <w:sz w:val="22"/>
          <w:szCs w:val="22"/>
          <w:vertAlign w:val="superscript"/>
          <w:lang w:val="it-IT"/>
        </w:rPr>
        <w:t>1</w:t>
      </w:r>
      <w:r w:rsidR="009B5BFA">
        <w:rPr>
          <w:rFonts w:ascii="Arial" w:hAnsi="Arial" w:cs="Arial"/>
          <w:sz w:val="22"/>
          <w:szCs w:val="22"/>
          <w:lang w:val="it-IT"/>
        </w:rPr>
        <w:t>,</w:t>
      </w:r>
      <w:r w:rsidRPr="00D5303F">
        <w:rPr>
          <w:rFonts w:ascii="Arial" w:hAnsi="Arial" w:cs="Arial"/>
          <w:sz w:val="22"/>
          <w:szCs w:val="22"/>
          <w:lang w:val="it-IT"/>
        </w:rPr>
        <w:t xml:space="preserve"> and Lorenzo Di Michele</w:t>
      </w:r>
      <w:r w:rsidRPr="00D5303F">
        <w:rPr>
          <w:rFonts w:ascii="Arial" w:hAnsi="Arial" w:cs="Arial"/>
          <w:sz w:val="22"/>
          <w:szCs w:val="22"/>
          <w:vertAlign w:val="superscript"/>
          <w:lang w:val="it-IT"/>
        </w:rPr>
        <w:t>1, 3</w:t>
      </w:r>
      <w:r w:rsidRPr="00D5303F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E57DC03" w14:textId="6A82686C" w:rsidR="00D14509" w:rsidRPr="00D5303F" w:rsidRDefault="00D14509" w:rsidP="00D14509">
      <w:pPr>
        <w:rPr>
          <w:rFonts w:ascii="Arial" w:hAnsi="Arial" w:cs="Arial"/>
          <w:sz w:val="22"/>
          <w:szCs w:val="22"/>
        </w:rPr>
      </w:pPr>
      <w:r w:rsidRPr="00D5303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D5303F">
        <w:rPr>
          <w:rFonts w:ascii="Arial" w:hAnsi="Arial" w:cs="Arial"/>
          <w:sz w:val="22"/>
          <w:szCs w:val="22"/>
        </w:rPr>
        <w:t xml:space="preserve">Imperial College London, United Kingdom; </w:t>
      </w:r>
      <w:r w:rsidRPr="00D5303F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D5303F">
        <w:rPr>
          <w:rFonts w:ascii="Arial" w:hAnsi="Arial" w:cs="Arial"/>
          <w:sz w:val="22"/>
          <w:szCs w:val="22"/>
        </w:rPr>
        <w:t>King’s College London, United Kingdom;</w:t>
      </w:r>
      <w:r w:rsidR="00581A5B" w:rsidRPr="00D5303F">
        <w:rPr>
          <w:rFonts w:ascii="Arial" w:hAnsi="Arial" w:cs="Arial"/>
          <w:sz w:val="22"/>
          <w:szCs w:val="22"/>
        </w:rPr>
        <w:br/>
      </w:r>
      <w:r w:rsidRPr="00D5303F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D5303F">
        <w:rPr>
          <w:rFonts w:ascii="Arial" w:hAnsi="Arial" w:cs="Arial"/>
          <w:sz w:val="22"/>
          <w:szCs w:val="22"/>
        </w:rPr>
        <w:t>University of Cambridge, United Kingdom</w:t>
      </w:r>
    </w:p>
    <w:p w14:paraId="319B494E" w14:textId="5504224E" w:rsidR="00CF40A5" w:rsidRDefault="00D14509" w:rsidP="00D14509">
      <w:pPr>
        <w:pStyle w:val="NormalWeb"/>
        <w:rPr>
          <w:rFonts w:ascii="Arial" w:hAnsi="Arial" w:cs="Arial"/>
          <w:sz w:val="22"/>
          <w:szCs w:val="22"/>
        </w:rPr>
      </w:pPr>
      <w:r w:rsidRPr="00D5303F">
        <w:rPr>
          <w:rFonts w:ascii="Arial" w:hAnsi="Arial" w:cs="Arial"/>
          <w:sz w:val="22"/>
          <w:szCs w:val="22"/>
        </w:rPr>
        <w:t xml:space="preserve">Thanks to its biocompatibility, versatility and programmable interactions, DNA has become increasingly popular as a building block for 2D and 3D </w:t>
      </w:r>
      <w:r w:rsidR="00255975">
        <w:rPr>
          <w:rFonts w:ascii="Arial" w:hAnsi="Arial" w:cs="Arial"/>
          <w:sz w:val="22"/>
          <w:szCs w:val="22"/>
        </w:rPr>
        <w:t>nanoarchitectures and nanomaterials</w:t>
      </w:r>
      <w:r w:rsidRPr="00D5303F">
        <w:rPr>
          <w:rFonts w:ascii="Arial" w:hAnsi="Arial" w:cs="Arial"/>
          <w:sz w:val="22"/>
          <w:szCs w:val="22"/>
        </w:rPr>
        <w:t>. Given the exploding interest in synthetic biology and nanomedicine, growing attention has been devoted</w:t>
      </w:r>
      <w:r w:rsidR="000A2446">
        <w:rPr>
          <w:rFonts w:ascii="Arial" w:hAnsi="Arial" w:cs="Arial"/>
          <w:sz w:val="22"/>
          <w:szCs w:val="22"/>
        </w:rPr>
        <w:t xml:space="preserve"> to</w:t>
      </w:r>
      <w:r w:rsidRPr="00D5303F">
        <w:rPr>
          <w:rFonts w:ascii="Arial" w:hAnsi="Arial" w:cs="Arial"/>
          <w:sz w:val="22"/>
          <w:szCs w:val="22"/>
        </w:rPr>
        <w:t xml:space="preserve"> functional, stimuli-responsive DNA frameworks for applications in artificial cells, biosensing, tissue engineering and drug delivery, particularly in the form of DNA-based hydrogels [1, 2</w:t>
      </w:r>
      <w:r w:rsidR="00E651A8">
        <w:rPr>
          <w:rFonts w:ascii="Arial" w:hAnsi="Arial" w:cs="Arial"/>
          <w:sz w:val="22"/>
          <w:szCs w:val="22"/>
        </w:rPr>
        <w:t>, 3</w:t>
      </w:r>
      <w:r w:rsidRPr="00D5303F">
        <w:rPr>
          <w:rFonts w:ascii="Arial" w:hAnsi="Arial" w:cs="Arial"/>
          <w:sz w:val="22"/>
          <w:szCs w:val="22"/>
        </w:rPr>
        <w:t>].</w:t>
      </w:r>
      <w:r w:rsidR="007A1748">
        <w:rPr>
          <w:rFonts w:ascii="Arial" w:hAnsi="Arial" w:cs="Arial"/>
          <w:sz w:val="22"/>
          <w:szCs w:val="22"/>
        </w:rPr>
        <w:t xml:space="preserve"> </w:t>
      </w:r>
      <w:r w:rsidRPr="00D5303F">
        <w:rPr>
          <w:rFonts w:ascii="Arial" w:hAnsi="Arial" w:cs="Arial"/>
          <w:sz w:val="22"/>
          <w:szCs w:val="22"/>
        </w:rPr>
        <w:t xml:space="preserve">However, the applicability of such nanomaterials </w:t>
      </w:r>
      <w:r w:rsidRPr="00D5303F">
        <w:rPr>
          <w:rStyle w:val="Emphasis"/>
          <w:rFonts w:ascii="Arial" w:hAnsi="Arial" w:cs="Arial"/>
          <w:sz w:val="22"/>
          <w:szCs w:val="22"/>
        </w:rPr>
        <w:t>in vivo</w:t>
      </w:r>
      <w:r w:rsidRPr="00D5303F">
        <w:rPr>
          <w:rFonts w:ascii="Arial" w:hAnsi="Arial" w:cs="Arial"/>
          <w:sz w:val="22"/>
          <w:szCs w:val="22"/>
        </w:rPr>
        <w:t xml:space="preserve"> is still hampered by the inability of most DNA nanostructures to reversibly respond to physiological stimuli, such as cation concentration or pH. So far, </w:t>
      </w:r>
      <w:r w:rsidR="00570D56">
        <w:rPr>
          <w:rFonts w:ascii="Arial" w:hAnsi="Arial" w:cs="Arial"/>
          <w:sz w:val="22"/>
          <w:szCs w:val="22"/>
        </w:rPr>
        <w:t xml:space="preserve">indeed, </w:t>
      </w:r>
      <w:r w:rsidRPr="00D5303F">
        <w:rPr>
          <w:rFonts w:ascii="Arial" w:hAnsi="Arial" w:cs="Arial"/>
          <w:sz w:val="22"/>
          <w:szCs w:val="22"/>
        </w:rPr>
        <w:t xml:space="preserve">most implementations rely on strand displacement, which use non biologically available, single-stranded DNA as input. </w:t>
      </w:r>
    </w:p>
    <w:p w14:paraId="70475346" w14:textId="0EDB3D87" w:rsidR="00D14509" w:rsidRPr="00D5303F" w:rsidRDefault="00A81F89" w:rsidP="00D1450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Here, we</w:t>
      </w:r>
      <w:r w:rsidR="00D14509" w:rsidRPr="00D5303F">
        <w:rPr>
          <w:rFonts w:ascii="Arial" w:hAnsi="Arial" w:cs="Arial"/>
          <w:sz w:val="22"/>
          <w:szCs w:val="22"/>
        </w:rPr>
        <w:t xml:space="preserve"> present how combining cation-responsive DNA G-quadruplex (G4) structures with amphiphilic DNA </w:t>
      </w:r>
      <w:r w:rsidR="000A2446">
        <w:rPr>
          <w:rFonts w:ascii="Arial" w:hAnsi="Arial" w:cs="Arial"/>
          <w:sz w:val="22"/>
          <w:szCs w:val="22"/>
        </w:rPr>
        <w:t>constructs</w:t>
      </w:r>
      <w:r w:rsidR="00D14509" w:rsidRPr="00D5303F">
        <w:rPr>
          <w:rFonts w:ascii="Arial" w:hAnsi="Arial" w:cs="Arial"/>
          <w:sz w:val="22"/>
          <w:szCs w:val="22"/>
        </w:rPr>
        <w:t xml:space="preserve"> [</w:t>
      </w:r>
      <w:r w:rsidR="00E651A8">
        <w:rPr>
          <w:rFonts w:ascii="Arial" w:hAnsi="Arial" w:cs="Arial"/>
          <w:sz w:val="22"/>
          <w:szCs w:val="22"/>
        </w:rPr>
        <w:t>4, 5</w:t>
      </w:r>
      <w:r w:rsidR="00D14509" w:rsidRPr="00D5303F">
        <w:rPr>
          <w:rFonts w:ascii="Arial" w:hAnsi="Arial" w:cs="Arial"/>
          <w:sz w:val="22"/>
          <w:szCs w:val="22"/>
        </w:rPr>
        <w:t xml:space="preserve">] produces </w:t>
      </w:r>
      <w:r w:rsidR="001D40C1">
        <w:rPr>
          <w:rFonts w:ascii="Arial" w:hAnsi="Arial" w:cs="Arial"/>
          <w:sz w:val="22"/>
          <w:szCs w:val="22"/>
        </w:rPr>
        <w:t xml:space="preserve">noncanonical </w:t>
      </w:r>
      <w:r w:rsidR="00D14509" w:rsidRPr="00D5303F">
        <w:rPr>
          <w:rFonts w:ascii="Arial" w:hAnsi="Arial" w:cs="Arial"/>
          <w:sz w:val="22"/>
          <w:szCs w:val="22"/>
        </w:rPr>
        <w:t>nanostructures, which we termed "Quad-Stars"</w:t>
      </w:r>
      <w:r w:rsidR="009B5BFA">
        <w:rPr>
          <w:rFonts w:ascii="Arial" w:hAnsi="Arial" w:cs="Arial"/>
          <w:sz w:val="22"/>
          <w:szCs w:val="22"/>
        </w:rPr>
        <w:t xml:space="preserve"> [</w:t>
      </w:r>
      <w:r w:rsidR="00E651A8">
        <w:rPr>
          <w:rFonts w:ascii="Arial" w:hAnsi="Arial" w:cs="Arial"/>
          <w:sz w:val="22"/>
          <w:szCs w:val="22"/>
        </w:rPr>
        <w:t>6</w:t>
      </w:r>
      <w:r w:rsidR="009B5BFA">
        <w:rPr>
          <w:rFonts w:ascii="Arial" w:hAnsi="Arial" w:cs="Arial"/>
          <w:sz w:val="22"/>
          <w:szCs w:val="22"/>
        </w:rPr>
        <w:t>]</w:t>
      </w:r>
      <w:r w:rsidR="00D14509" w:rsidRPr="00D5303F">
        <w:rPr>
          <w:rFonts w:ascii="Arial" w:hAnsi="Arial" w:cs="Arial"/>
          <w:sz w:val="22"/>
          <w:szCs w:val="22"/>
        </w:rPr>
        <w:t xml:space="preserve">, capable of assembling isothermally into responsive hydrogel aggregates via a simple, enzyme-free, one-pot reaction. </w:t>
      </w:r>
      <w:r w:rsidR="001900A1">
        <w:rPr>
          <w:rFonts w:ascii="Arial" w:hAnsi="Arial" w:cs="Arial"/>
          <w:sz w:val="22"/>
          <w:szCs w:val="22"/>
        </w:rPr>
        <w:t>The</w:t>
      </w:r>
      <w:r w:rsidR="00D14509" w:rsidRPr="00D5303F">
        <w:rPr>
          <w:rFonts w:ascii="Arial" w:hAnsi="Arial" w:cs="Arial"/>
          <w:sz w:val="22"/>
          <w:szCs w:val="22"/>
        </w:rPr>
        <w:t xml:space="preserve"> embedded G4 structures allow us to reversibly trigger and kinetically control the assembly/disassembly by adding or removing K</w:t>
      </w:r>
      <w:r w:rsidR="00D14509" w:rsidRPr="00D5303F">
        <w:rPr>
          <w:rFonts w:ascii="Arial" w:hAnsi="Arial" w:cs="Arial"/>
          <w:sz w:val="22"/>
          <w:szCs w:val="22"/>
          <w:vertAlign w:val="superscript"/>
        </w:rPr>
        <w:t>+</w:t>
      </w:r>
      <w:r w:rsidR="00D14509" w:rsidRPr="00D5303F">
        <w:rPr>
          <w:rFonts w:ascii="Arial" w:hAnsi="Arial" w:cs="Arial"/>
          <w:sz w:val="22"/>
          <w:szCs w:val="22"/>
        </w:rPr>
        <w:t xml:space="preserve"> ions. The hydrogel particles can further be photo-disassembled </w:t>
      </w:r>
      <w:r w:rsidR="001900A1">
        <w:rPr>
          <w:rFonts w:ascii="Arial" w:hAnsi="Arial" w:cs="Arial"/>
          <w:sz w:val="22"/>
          <w:szCs w:val="22"/>
        </w:rPr>
        <w:t>in a localised and irreversible</w:t>
      </w:r>
      <w:r w:rsidR="0009000A">
        <w:rPr>
          <w:rFonts w:ascii="Arial" w:hAnsi="Arial" w:cs="Arial"/>
          <w:sz w:val="22"/>
          <w:szCs w:val="22"/>
        </w:rPr>
        <w:t xml:space="preserve"> </w:t>
      </w:r>
      <w:r w:rsidR="00542B8E">
        <w:rPr>
          <w:rFonts w:ascii="Arial" w:hAnsi="Arial" w:cs="Arial"/>
          <w:sz w:val="22"/>
          <w:szCs w:val="22"/>
        </w:rPr>
        <w:t>way</w:t>
      </w:r>
      <w:r w:rsidR="001900A1">
        <w:rPr>
          <w:rFonts w:ascii="Arial" w:hAnsi="Arial" w:cs="Arial"/>
          <w:sz w:val="22"/>
          <w:szCs w:val="22"/>
        </w:rPr>
        <w:t xml:space="preserve"> </w:t>
      </w:r>
      <w:r w:rsidR="00D14509" w:rsidRPr="00D5303F">
        <w:rPr>
          <w:rFonts w:ascii="Arial" w:hAnsi="Arial" w:cs="Arial"/>
          <w:sz w:val="22"/>
          <w:szCs w:val="22"/>
        </w:rPr>
        <w:t xml:space="preserve">upon near-UV </w:t>
      </w:r>
      <w:r w:rsidR="001900A1">
        <w:rPr>
          <w:rFonts w:ascii="Arial" w:hAnsi="Arial" w:cs="Arial"/>
          <w:sz w:val="22"/>
          <w:szCs w:val="22"/>
        </w:rPr>
        <w:t>irradiation</w:t>
      </w:r>
      <w:r w:rsidR="00D14509" w:rsidRPr="00D5303F">
        <w:rPr>
          <w:rFonts w:ascii="Arial" w:hAnsi="Arial" w:cs="Arial"/>
          <w:sz w:val="22"/>
          <w:szCs w:val="22"/>
        </w:rPr>
        <w:t xml:space="preserve"> in the presence of a G4-binding porphyrin photosensitiser</w:t>
      </w:r>
      <w:r w:rsidR="001900A1">
        <w:rPr>
          <w:rFonts w:ascii="Arial" w:hAnsi="Arial" w:cs="Arial"/>
          <w:sz w:val="22"/>
          <w:szCs w:val="22"/>
        </w:rPr>
        <w:t>.</w:t>
      </w:r>
      <w:r w:rsidR="00CF40A5">
        <w:rPr>
          <w:rFonts w:ascii="Arial" w:hAnsi="Arial" w:cs="Arial"/>
          <w:sz w:val="22"/>
          <w:szCs w:val="22"/>
        </w:rPr>
        <w:t xml:space="preserve"> </w:t>
      </w:r>
      <w:r w:rsidR="00D14509" w:rsidRPr="00D5303F">
        <w:rPr>
          <w:rFonts w:ascii="Arial" w:hAnsi="Arial" w:cs="Arial"/>
          <w:sz w:val="22"/>
          <w:szCs w:val="22"/>
        </w:rPr>
        <w:t>The combined reversibility of assembly, cation-responsiveness, cargo-loading capabilities and biostability under model physiological conditions make Quad-Stars an excellent candidate for next-generation biosensors and responsive drug delivery carriers.</w:t>
      </w:r>
    </w:p>
    <w:p w14:paraId="724C0018" w14:textId="222909B5" w:rsidR="00952E07" w:rsidRPr="00BF0560" w:rsidRDefault="00675D16" w:rsidP="003948F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1B661BAE" wp14:editId="1F28FB55">
            <wp:extent cx="3633750" cy="1945341"/>
            <wp:effectExtent l="0" t="0" r="0" b="0"/>
            <wp:docPr id="8" name="Picture 8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video gam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894" cy="205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D3A4" w14:textId="33C7D12D" w:rsidR="0009000A" w:rsidRPr="0009000A" w:rsidRDefault="00387F07" w:rsidP="0009000A">
      <w:pPr>
        <w:spacing w:after="240"/>
        <w:jc w:val="center"/>
        <w:rPr>
          <w:rFonts w:ascii="Arial" w:hAnsi="Arial" w:cs="Arial"/>
          <w:sz w:val="20"/>
          <w:szCs w:val="22"/>
        </w:rPr>
      </w:pPr>
      <w:r w:rsidRPr="00C66999">
        <w:rPr>
          <w:rFonts w:ascii="Arial" w:hAnsi="Arial" w:cs="Arial"/>
          <w:b/>
          <w:bCs/>
          <w:sz w:val="20"/>
          <w:szCs w:val="22"/>
        </w:rPr>
        <w:t>Fig. 1.</w:t>
      </w:r>
      <w:r w:rsidRPr="00BF0560">
        <w:rPr>
          <w:rFonts w:ascii="Arial" w:hAnsi="Arial" w:cs="Arial"/>
          <w:sz w:val="20"/>
          <w:szCs w:val="22"/>
        </w:rPr>
        <w:t xml:space="preserve"> </w:t>
      </w:r>
      <w:r w:rsidR="00075FD2">
        <w:rPr>
          <w:rFonts w:ascii="Arial" w:hAnsi="Arial" w:cs="Arial"/>
          <w:sz w:val="20"/>
          <w:szCs w:val="22"/>
        </w:rPr>
        <w:t>Quad-Stars self-assemble in the presence of K</w:t>
      </w:r>
      <w:r w:rsidR="00075FD2" w:rsidRPr="00F6235E">
        <w:rPr>
          <w:rFonts w:ascii="Arial" w:hAnsi="Arial" w:cs="Arial"/>
          <w:sz w:val="20"/>
          <w:szCs w:val="22"/>
          <w:vertAlign w:val="superscript"/>
        </w:rPr>
        <w:t>+</w:t>
      </w:r>
      <w:r w:rsidR="00075FD2">
        <w:rPr>
          <w:rFonts w:ascii="Arial" w:hAnsi="Arial" w:cs="Arial"/>
          <w:sz w:val="20"/>
          <w:szCs w:val="22"/>
        </w:rPr>
        <w:t xml:space="preserve"> ions and disassemble upon their chelation thanks to the tetramolecular G4 structure joining the four double-stranded arms together.</w:t>
      </w:r>
      <w:r w:rsidR="00296E14">
        <w:rPr>
          <w:rFonts w:ascii="Arial" w:hAnsi="Arial" w:cs="Arial"/>
          <w:sz w:val="20"/>
          <w:szCs w:val="22"/>
        </w:rPr>
        <w:t xml:space="preserve"> </w:t>
      </w:r>
      <w:r w:rsidR="00075FD2">
        <w:rPr>
          <w:rFonts w:ascii="Arial" w:hAnsi="Arial" w:cs="Arial"/>
          <w:sz w:val="20"/>
          <w:szCs w:val="22"/>
        </w:rPr>
        <w:t>Thanks to the cholesterol moieties, the hydrogel aggregates can uptake small hydrophobic molecules and release them upon disassembly.</w:t>
      </w:r>
      <w:r w:rsidR="00F6235E">
        <w:rPr>
          <w:rFonts w:ascii="Arial" w:hAnsi="Arial" w:cs="Arial"/>
          <w:sz w:val="20"/>
          <w:szCs w:val="22"/>
        </w:rPr>
        <w:t xml:space="preserve"> </w:t>
      </w:r>
      <w:r w:rsidR="00BD7AA8">
        <w:rPr>
          <w:rFonts w:ascii="Arial" w:hAnsi="Arial" w:cs="Arial"/>
          <w:sz w:val="20"/>
          <w:szCs w:val="22"/>
        </w:rPr>
        <w:t>Near</w:t>
      </w:r>
      <w:r w:rsidR="00F6235E">
        <w:rPr>
          <w:rFonts w:ascii="Arial" w:hAnsi="Arial" w:cs="Arial"/>
          <w:sz w:val="20"/>
          <w:szCs w:val="22"/>
        </w:rPr>
        <w:t xml:space="preserve">-UV exposure </w:t>
      </w:r>
      <w:r w:rsidR="00BD7AA8">
        <w:rPr>
          <w:rFonts w:ascii="Arial" w:hAnsi="Arial" w:cs="Arial"/>
          <w:sz w:val="20"/>
          <w:szCs w:val="22"/>
        </w:rPr>
        <w:t>in the presence of</w:t>
      </w:r>
      <w:r w:rsidR="00F6235E">
        <w:rPr>
          <w:rFonts w:ascii="Arial" w:hAnsi="Arial" w:cs="Arial"/>
          <w:sz w:val="20"/>
          <w:szCs w:val="22"/>
        </w:rPr>
        <w:t xml:space="preserve"> a porphyrin photosensiti</w:t>
      </w:r>
      <w:r w:rsidR="00BD7AA8">
        <w:rPr>
          <w:rFonts w:ascii="Arial" w:hAnsi="Arial" w:cs="Arial"/>
          <w:sz w:val="20"/>
          <w:szCs w:val="22"/>
        </w:rPr>
        <w:t>s</w:t>
      </w:r>
      <w:r w:rsidR="00F6235E">
        <w:rPr>
          <w:rFonts w:ascii="Arial" w:hAnsi="Arial" w:cs="Arial"/>
          <w:sz w:val="20"/>
          <w:szCs w:val="22"/>
        </w:rPr>
        <w:t xml:space="preserve">er further leads to guanine photo-oxidation </w:t>
      </w:r>
      <w:r w:rsidR="00930B86">
        <w:rPr>
          <w:rFonts w:ascii="Arial" w:hAnsi="Arial" w:cs="Arial"/>
          <w:sz w:val="20"/>
          <w:szCs w:val="22"/>
        </w:rPr>
        <w:t>and locali</w:t>
      </w:r>
      <w:r w:rsidR="00BD7AA8">
        <w:rPr>
          <w:rFonts w:ascii="Arial" w:hAnsi="Arial" w:cs="Arial"/>
          <w:sz w:val="20"/>
          <w:szCs w:val="22"/>
        </w:rPr>
        <w:t>s</w:t>
      </w:r>
      <w:r w:rsidR="00930B86">
        <w:rPr>
          <w:rFonts w:ascii="Arial" w:hAnsi="Arial" w:cs="Arial"/>
          <w:sz w:val="20"/>
          <w:szCs w:val="22"/>
        </w:rPr>
        <w:t xml:space="preserve">ed, irreversible disassembly of </w:t>
      </w:r>
      <w:r w:rsidR="00BD7AA8">
        <w:rPr>
          <w:rFonts w:ascii="Arial" w:hAnsi="Arial" w:cs="Arial"/>
          <w:sz w:val="20"/>
          <w:szCs w:val="22"/>
        </w:rPr>
        <w:t>the</w:t>
      </w:r>
      <w:r w:rsidR="00930B86">
        <w:rPr>
          <w:rFonts w:ascii="Arial" w:hAnsi="Arial" w:cs="Arial"/>
          <w:sz w:val="20"/>
          <w:szCs w:val="22"/>
        </w:rPr>
        <w:t xml:space="preserve"> aggregates.</w:t>
      </w:r>
    </w:p>
    <w:p w14:paraId="58E07856" w14:textId="0A306869" w:rsidR="009B5BFA" w:rsidRPr="00C66999" w:rsidRDefault="00387F07" w:rsidP="00AB776B">
      <w:pPr>
        <w:rPr>
          <w:rFonts w:ascii="Arial" w:hAnsi="Arial" w:cs="Arial"/>
          <w:sz w:val="22"/>
          <w:szCs w:val="22"/>
        </w:rPr>
      </w:pPr>
      <w:r w:rsidRPr="00D5303F">
        <w:rPr>
          <w:rFonts w:ascii="Arial" w:hAnsi="Arial" w:cs="Arial"/>
          <w:sz w:val="22"/>
          <w:szCs w:val="22"/>
        </w:rPr>
        <w:t xml:space="preserve">[1] </w:t>
      </w:r>
      <w:r w:rsidR="00A82E96" w:rsidRPr="00D5303F">
        <w:rPr>
          <w:rFonts w:ascii="Arial" w:hAnsi="Arial" w:cs="Arial"/>
          <w:sz w:val="22"/>
          <w:szCs w:val="22"/>
        </w:rPr>
        <w:tab/>
      </w:r>
      <w:r w:rsidR="00705F95" w:rsidRPr="00D5303F">
        <w:rPr>
          <w:rFonts w:ascii="Arial" w:hAnsi="Arial" w:cs="Arial"/>
          <w:sz w:val="22"/>
          <w:szCs w:val="22"/>
        </w:rPr>
        <w:t xml:space="preserve">D. Wang </w:t>
      </w:r>
      <w:r w:rsidR="00705F95" w:rsidRPr="00D5303F">
        <w:rPr>
          <w:rFonts w:ascii="Arial" w:hAnsi="Arial" w:cs="Arial"/>
          <w:i/>
          <w:iCs/>
          <w:sz w:val="22"/>
          <w:szCs w:val="22"/>
        </w:rPr>
        <w:t>et al</w:t>
      </w:r>
      <w:r w:rsidR="00705F95" w:rsidRPr="00D5303F">
        <w:rPr>
          <w:rFonts w:ascii="Arial" w:hAnsi="Arial" w:cs="Arial"/>
          <w:sz w:val="22"/>
          <w:szCs w:val="22"/>
        </w:rPr>
        <w:t xml:space="preserve">., </w:t>
      </w:r>
      <w:r w:rsidR="00705F95" w:rsidRPr="00D5303F">
        <w:rPr>
          <w:rFonts w:ascii="Arial" w:hAnsi="Arial" w:cs="Arial"/>
          <w:i/>
          <w:iCs/>
          <w:sz w:val="22"/>
          <w:szCs w:val="22"/>
        </w:rPr>
        <w:t>Acc. Chem. Res.</w:t>
      </w:r>
      <w:r w:rsidR="00705F95" w:rsidRPr="00D5303F">
        <w:rPr>
          <w:rFonts w:ascii="Arial" w:hAnsi="Arial" w:cs="Arial"/>
          <w:sz w:val="22"/>
          <w:szCs w:val="22"/>
        </w:rPr>
        <w:t xml:space="preserve"> 2017, 50, 4, 733–7392. </w:t>
      </w:r>
      <w:r w:rsidR="00E651A8">
        <w:rPr>
          <w:rFonts w:ascii="Arial" w:hAnsi="Arial" w:cs="Arial"/>
          <w:sz w:val="22"/>
          <w:szCs w:val="22"/>
        </w:rPr>
        <w:br/>
      </w:r>
      <w:r w:rsidR="00575E6B" w:rsidRPr="00D5303F">
        <w:rPr>
          <w:rFonts w:ascii="Arial" w:hAnsi="Arial" w:cs="Arial"/>
          <w:sz w:val="22"/>
          <w:szCs w:val="22"/>
        </w:rPr>
        <w:t>[2</w:t>
      </w:r>
      <w:r w:rsidRPr="00D5303F">
        <w:rPr>
          <w:rFonts w:ascii="Arial" w:hAnsi="Arial" w:cs="Arial"/>
          <w:sz w:val="22"/>
          <w:szCs w:val="22"/>
        </w:rPr>
        <w:t xml:space="preserve">] </w:t>
      </w:r>
      <w:r w:rsidR="00A82E96" w:rsidRPr="00D5303F">
        <w:rPr>
          <w:rFonts w:ascii="Arial" w:hAnsi="Arial" w:cs="Arial"/>
          <w:sz w:val="22"/>
          <w:szCs w:val="22"/>
        </w:rPr>
        <w:tab/>
      </w:r>
      <w:r w:rsidR="00705F95" w:rsidRPr="00D5303F">
        <w:rPr>
          <w:rFonts w:ascii="Arial" w:hAnsi="Arial" w:cs="Arial"/>
          <w:sz w:val="22"/>
          <w:szCs w:val="22"/>
        </w:rPr>
        <w:t>N.</w:t>
      </w:r>
      <w:r w:rsidR="009B5BFA">
        <w:rPr>
          <w:rFonts w:ascii="Arial" w:hAnsi="Arial" w:cs="Arial"/>
          <w:sz w:val="22"/>
          <w:szCs w:val="22"/>
        </w:rPr>
        <w:t xml:space="preserve"> </w:t>
      </w:r>
      <w:r w:rsidR="00705F95" w:rsidRPr="00D5303F">
        <w:rPr>
          <w:rFonts w:ascii="Arial" w:hAnsi="Arial" w:cs="Arial"/>
          <w:sz w:val="22"/>
          <w:szCs w:val="22"/>
        </w:rPr>
        <w:t xml:space="preserve">Yewdall </w:t>
      </w:r>
      <w:r w:rsidR="00705F95" w:rsidRPr="00D5303F">
        <w:rPr>
          <w:rFonts w:ascii="Arial" w:hAnsi="Arial" w:cs="Arial"/>
          <w:i/>
          <w:iCs/>
          <w:sz w:val="22"/>
          <w:szCs w:val="22"/>
        </w:rPr>
        <w:t>et al.</w:t>
      </w:r>
      <w:r w:rsidR="00705F95" w:rsidRPr="00D5303F">
        <w:rPr>
          <w:rFonts w:ascii="Arial" w:hAnsi="Arial" w:cs="Arial"/>
          <w:sz w:val="22"/>
          <w:szCs w:val="22"/>
        </w:rPr>
        <w:t xml:space="preserve">, </w:t>
      </w:r>
      <w:r w:rsidR="00705F95" w:rsidRPr="00D5303F">
        <w:rPr>
          <w:rFonts w:ascii="Arial" w:hAnsi="Arial" w:cs="Arial"/>
          <w:i/>
          <w:iCs/>
          <w:sz w:val="22"/>
          <w:szCs w:val="22"/>
        </w:rPr>
        <w:t xml:space="preserve">Curr. </w:t>
      </w:r>
      <w:r w:rsidR="00705F95" w:rsidRPr="00136E0A">
        <w:rPr>
          <w:rFonts w:ascii="Arial" w:hAnsi="Arial" w:cs="Arial"/>
          <w:i/>
          <w:iCs/>
          <w:sz w:val="22"/>
          <w:szCs w:val="22"/>
          <w:lang w:val="it-IT"/>
        </w:rPr>
        <w:t xml:space="preserve">Opin. </w:t>
      </w:r>
      <w:r w:rsidR="00705F95" w:rsidRPr="00E651A8">
        <w:rPr>
          <w:rFonts w:ascii="Arial" w:hAnsi="Arial" w:cs="Arial"/>
          <w:i/>
          <w:iCs/>
          <w:sz w:val="22"/>
          <w:szCs w:val="22"/>
          <w:lang w:val="it-IT"/>
        </w:rPr>
        <w:t>Colloid Interface Sci.</w:t>
      </w:r>
      <w:r w:rsidR="00705F95" w:rsidRPr="00E651A8">
        <w:rPr>
          <w:rFonts w:ascii="Arial" w:hAnsi="Arial" w:cs="Arial"/>
          <w:sz w:val="22"/>
          <w:szCs w:val="22"/>
          <w:lang w:val="it-IT"/>
        </w:rPr>
        <w:t xml:space="preserve"> 2021, 52, 101416</w:t>
      </w:r>
      <w:r w:rsidR="00C66999">
        <w:rPr>
          <w:rFonts w:ascii="Arial" w:hAnsi="Arial" w:cs="Arial"/>
          <w:sz w:val="22"/>
          <w:szCs w:val="22"/>
          <w:lang w:val="it-IT"/>
        </w:rPr>
        <w:t>.</w:t>
      </w:r>
      <w:r w:rsidR="00E651A8" w:rsidRPr="00E651A8">
        <w:rPr>
          <w:rFonts w:ascii="Arial" w:hAnsi="Arial" w:cs="Arial"/>
          <w:sz w:val="22"/>
          <w:szCs w:val="22"/>
          <w:lang w:val="it-IT"/>
        </w:rPr>
        <w:br/>
        <w:t>[</w:t>
      </w:r>
      <w:r w:rsidR="00E651A8">
        <w:rPr>
          <w:rFonts w:ascii="Arial" w:hAnsi="Arial" w:cs="Arial"/>
          <w:sz w:val="22"/>
          <w:szCs w:val="22"/>
          <w:lang w:val="it-IT"/>
        </w:rPr>
        <w:t>3</w:t>
      </w:r>
      <w:r w:rsidR="00E651A8" w:rsidRPr="00E651A8">
        <w:rPr>
          <w:rFonts w:ascii="Arial" w:hAnsi="Arial" w:cs="Arial"/>
          <w:sz w:val="22"/>
          <w:szCs w:val="22"/>
          <w:lang w:val="it-IT"/>
        </w:rPr>
        <w:t xml:space="preserve">] </w:t>
      </w:r>
      <w:r w:rsidR="00E651A8" w:rsidRPr="00E651A8">
        <w:rPr>
          <w:rFonts w:ascii="Arial" w:hAnsi="Arial" w:cs="Arial"/>
          <w:sz w:val="22"/>
          <w:szCs w:val="22"/>
          <w:lang w:val="it-IT"/>
        </w:rPr>
        <w:tab/>
      </w:r>
      <w:r w:rsidR="00E651A8">
        <w:rPr>
          <w:rFonts w:ascii="Arial" w:hAnsi="Arial" w:cs="Arial"/>
          <w:sz w:val="22"/>
          <w:szCs w:val="22"/>
          <w:lang w:val="it-IT"/>
        </w:rPr>
        <w:t>R. Rubio</w:t>
      </w:r>
      <w:r w:rsidR="0022234E">
        <w:rPr>
          <w:rFonts w:ascii="Arial" w:hAnsi="Arial" w:cs="Arial"/>
          <w:sz w:val="22"/>
          <w:szCs w:val="22"/>
          <w:lang w:val="it-IT"/>
        </w:rPr>
        <w:t>-</w:t>
      </w:r>
      <w:r w:rsidR="00AB776B">
        <w:rPr>
          <w:rFonts w:ascii="Arial" w:hAnsi="Arial" w:cs="Arial"/>
          <w:sz w:val="22"/>
          <w:szCs w:val="22"/>
          <w:lang w:val="it-IT"/>
        </w:rPr>
        <w:t>S</w:t>
      </w:r>
      <w:r w:rsidR="00AB776B" w:rsidRPr="00AB776B">
        <w:rPr>
          <w:rFonts w:ascii="Arial" w:hAnsi="Arial" w:cs="Arial"/>
          <w:color w:val="202124"/>
          <w:sz w:val="22"/>
          <w:szCs w:val="22"/>
          <w:shd w:val="clear" w:color="auto" w:fill="FFFFFF"/>
          <w:lang w:val="it-IT"/>
        </w:rPr>
        <w:t>á</w:t>
      </w:r>
      <w:r w:rsidR="0022234E">
        <w:rPr>
          <w:rFonts w:ascii="Arial" w:hAnsi="Arial" w:cs="Arial"/>
          <w:sz w:val="22"/>
          <w:szCs w:val="22"/>
          <w:lang w:val="it-IT"/>
        </w:rPr>
        <w:t>nchez</w:t>
      </w:r>
      <w:r w:rsidR="00C66999">
        <w:rPr>
          <w:rFonts w:ascii="Arial" w:hAnsi="Arial" w:cs="Arial"/>
          <w:sz w:val="22"/>
          <w:szCs w:val="22"/>
          <w:lang w:val="it-IT"/>
        </w:rPr>
        <w:t>, G. Fabrini</w:t>
      </w:r>
      <w:r w:rsidR="001F7CDF">
        <w:rPr>
          <w:rFonts w:ascii="Arial" w:hAnsi="Arial" w:cs="Arial"/>
          <w:sz w:val="22"/>
          <w:szCs w:val="22"/>
          <w:lang w:val="it-IT"/>
        </w:rPr>
        <w:t xml:space="preserve"> </w:t>
      </w:r>
      <w:r w:rsidR="00E651A8" w:rsidRPr="00E651A8">
        <w:rPr>
          <w:rFonts w:ascii="Arial" w:hAnsi="Arial" w:cs="Arial"/>
          <w:i/>
          <w:iCs/>
          <w:sz w:val="22"/>
          <w:szCs w:val="22"/>
          <w:lang w:val="it-IT"/>
        </w:rPr>
        <w:t>et al.</w:t>
      </w:r>
      <w:r w:rsidR="00E651A8" w:rsidRPr="00E651A8">
        <w:rPr>
          <w:rFonts w:ascii="Arial" w:hAnsi="Arial" w:cs="Arial"/>
          <w:sz w:val="22"/>
          <w:szCs w:val="22"/>
          <w:lang w:val="it-IT"/>
        </w:rPr>
        <w:t xml:space="preserve">, </w:t>
      </w:r>
      <w:r w:rsidR="00D61261">
        <w:rPr>
          <w:rFonts w:ascii="Arial" w:hAnsi="Arial" w:cs="Arial"/>
          <w:i/>
          <w:iCs/>
          <w:sz w:val="22"/>
          <w:szCs w:val="22"/>
          <w:lang w:val="it-IT"/>
        </w:rPr>
        <w:t xml:space="preserve">Chem. </w:t>
      </w:r>
      <w:r w:rsidR="00D61261" w:rsidRPr="00D61261">
        <w:rPr>
          <w:rFonts w:ascii="Arial" w:hAnsi="Arial" w:cs="Arial"/>
          <w:i/>
          <w:iCs/>
          <w:sz w:val="22"/>
          <w:szCs w:val="22"/>
        </w:rPr>
        <w:t>Commun</w:t>
      </w:r>
      <w:r w:rsidR="00E651A8" w:rsidRPr="00D61261">
        <w:rPr>
          <w:rFonts w:ascii="Arial" w:hAnsi="Arial" w:cs="Arial"/>
          <w:i/>
          <w:iCs/>
          <w:sz w:val="22"/>
          <w:szCs w:val="22"/>
        </w:rPr>
        <w:t>.</w:t>
      </w:r>
      <w:r w:rsidR="00E651A8" w:rsidRPr="00D61261">
        <w:rPr>
          <w:rFonts w:ascii="Arial" w:hAnsi="Arial" w:cs="Arial"/>
          <w:sz w:val="22"/>
          <w:szCs w:val="22"/>
        </w:rPr>
        <w:t xml:space="preserve"> 2021, </w:t>
      </w:r>
      <w:r w:rsidR="00D61261" w:rsidRPr="00D61261">
        <w:rPr>
          <w:rFonts w:ascii="Arial" w:hAnsi="Arial" w:cs="Arial"/>
          <w:sz w:val="22"/>
          <w:szCs w:val="22"/>
        </w:rPr>
        <w:t>57</w:t>
      </w:r>
      <w:r w:rsidR="00E651A8" w:rsidRPr="00D61261">
        <w:rPr>
          <w:rFonts w:ascii="Arial" w:hAnsi="Arial" w:cs="Arial"/>
          <w:sz w:val="22"/>
          <w:szCs w:val="22"/>
        </w:rPr>
        <w:t xml:space="preserve">, </w:t>
      </w:r>
      <w:r w:rsidR="00D61261">
        <w:rPr>
          <w:rFonts w:ascii="Arial" w:hAnsi="Arial" w:cs="Arial"/>
          <w:sz w:val="22"/>
          <w:szCs w:val="22"/>
        </w:rPr>
        <w:t>12725</w:t>
      </w:r>
      <w:r w:rsidR="00C66999">
        <w:rPr>
          <w:rFonts w:ascii="Arial" w:hAnsi="Arial" w:cs="Arial"/>
          <w:sz w:val="22"/>
          <w:szCs w:val="22"/>
        </w:rPr>
        <w:t>.</w:t>
      </w:r>
      <w:r w:rsidR="00E651A8" w:rsidRPr="00D61261">
        <w:rPr>
          <w:rFonts w:ascii="Arial" w:hAnsi="Arial" w:cs="Arial"/>
          <w:sz w:val="22"/>
          <w:szCs w:val="22"/>
        </w:rPr>
        <w:br/>
      </w:r>
      <w:r w:rsidR="00705F95" w:rsidRPr="00D61261">
        <w:rPr>
          <w:rFonts w:ascii="Arial" w:hAnsi="Arial" w:cs="Arial"/>
          <w:sz w:val="22"/>
          <w:szCs w:val="22"/>
        </w:rPr>
        <w:t>[</w:t>
      </w:r>
      <w:r w:rsidR="00E651A8" w:rsidRPr="00D61261">
        <w:rPr>
          <w:rFonts w:ascii="Arial" w:hAnsi="Arial" w:cs="Arial"/>
          <w:sz w:val="22"/>
          <w:szCs w:val="22"/>
        </w:rPr>
        <w:t>4</w:t>
      </w:r>
      <w:r w:rsidR="00705F95" w:rsidRPr="00D61261">
        <w:rPr>
          <w:rFonts w:ascii="Arial" w:hAnsi="Arial" w:cs="Arial"/>
          <w:sz w:val="22"/>
          <w:szCs w:val="22"/>
        </w:rPr>
        <w:t xml:space="preserve">] </w:t>
      </w:r>
      <w:r w:rsidR="00705F95" w:rsidRPr="00D61261">
        <w:rPr>
          <w:rFonts w:ascii="Arial" w:hAnsi="Arial" w:cs="Arial"/>
          <w:sz w:val="22"/>
          <w:szCs w:val="22"/>
        </w:rPr>
        <w:tab/>
        <w:t>R.</w:t>
      </w:r>
      <w:r w:rsidR="009B5BFA" w:rsidRPr="00D61261">
        <w:rPr>
          <w:rFonts w:ascii="Arial" w:hAnsi="Arial" w:cs="Arial"/>
          <w:sz w:val="22"/>
          <w:szCs w:val="22"/>
        </w:rPr>
        <w:t xml:space="preserve"> A. </w:t>
      </w:r>
      <w:r w:rsidR="00705F95" w:rsidRPr="00D61261">
        <w:rPr>
          <w:rFonts w:ascii="Arial" w:hAnsi="Arial" w:cs="Arial"/>
          <w:sz w:val="22"/>
          <w:szCs w:val="22"/>
        </w:rPr>
        <w:t xml:space="preserve">Brady </w:t>
      </w:r>
      <w:r w:rsidR="00705F95" w:rsidRPr="00D61261">
        <w:rPr>
          <w:rFonts w:ascii="Arial" w:hAnsi="Arial" w:cs="Arial"/>
          <w:i/>
          <w:iCs/>
          <w:sz w:val="22"/>
          <w:szCs w:val="22"/>
        </w:rPr>
        <w:t>et al.</w:t>
      </w:r>
      <w:r w:rsidR="00705F95" w:rsidRPr="00D61261">
        <w:rPr>
          <w:rFonts w:ascii="Arial" w:hAnsi="Arial" w:cs="Arial"/>
          <w:sz w:val="22"/>
          <w:szCs w:val="22"/>
        </w:rPr>
        <w:t xml:space="preserve">, </w:t>
      </w:r>
      <w:r w:rsidR="00705F95" w:rsidRPr="00D61261">
        <w:rPr>
          <w:rFonts w:ascii="Arial" w:hAnsi="Arial" w:cs="Arial"/>
          <w:i/>
          <w:iCs/>
          <w:color w:val="000000"/>
          <w:sz w:val="22"/>
          <w:szCs w:val="22"/>
        </w:rPr>
        <w:t>Nano Lett.</w:t>
      </w:r>
      <w:r w:rsidR="00705F95" w:rsidRPr="00D61261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705F95" w:rsidRPr="00D61261">
        <w:rPr>
          <w:rFonts w:ascii="Arial" w:hAnsi="Arial" w:cs="Arial"/>
          <w:color w:val="000000"/>
          <w:sz w:val="22"/>
          <w:szCs w:val="22"/>
        </w:rPr>
        <w:t>2017, 17, 5, 3276–3281</w:t>
      </w:r>
      <w:r w:rsidR="00C66999">
        <w:rPr>
          <w:rFonts w:ascii="Arial" w:hAnsi="Arial" w:cs="Arial"/>
          <w:color w:val="000000"/>
          <w:sz w:val="22"/>
          <w:szCs w:val="22"/>
        </w:rPr>
        <w:t>.</w:t>
      </w:r>
      <w:r w:rsidR="00E651A8" w:rsidRPr="00D61261">
        <w:rPr>
          <w:rFonts w:ascii="Arial" w:hAnsi="Arial" w:cs="Arial"/>
          <w:sz w:val="22"/>
          <w:szCs w:val="22"/>
        </w:rPr>
        <w:br/>
      </w:r>
      <w:r w:rsidR="00705F95" w:rsidRPr="00D61261">
        <w:rPr>
          <w:rFonts w:ascii="Arial" w:hAnsi="Arial" w:cs="Arial"/>
          <w:sz w:val="22"/>
          <w:szCs w:val="22"/>
        </w:rPr>
        <w:t>[</w:t>
      </w:r>
      <w:r w:rsidR="00E651A8" w:rsidRPr="00D61261">
        <w:rPr>
          <w:rFonts w:ascii="Arial" w:hAnsi="Arial" w:cs="Arial"/>
          <w:sz w:val="22"/>
          <w:szCs w:val="22"/>
        </w:rPr>
        <w:t>5</w:t>
      </w:r>
      <w:r w:rsidR="00705F95" w:rsidRPr="00D61261">
        <w:rPr>
          <w:rFonts w:ascii="Arial" w:hAnsi="Arial" w:cs="Arial"/>
          <w:sz w:val="22"/>
          <w:szCs w:val="22"/>
        </w:rPr>
        <w:t xml:space="preserve">] </w:t>
      </w:r>
      <w:r w:rsidR="00705F95" w:rsidRPr="00D61261">
        <w:rPr>
          <w:rFonts w:ascii="Arial" w:hAnsi="Arial" w:cs="Arial"/>
          <w:sz w:val="22"/>
          <w:szCs w:val="22"/>
        </w:rPr>
        <w:tab/>
        <w:t>R.</w:t>
      </w:r>
      <w:r w:rsidR="009B5BFA" w:rsidRPr="00D61261">
        <w:rPr>
          <w:rFonts w:ascii="Arial" w:hAnsi="Arial" w:cs="Arial"/>
          <w:sz w:val="22"/>
          <w:szCs w:val="22"/>
        </w:rPr>
        <w:t xml:space="preserve"> A. </w:t>
      </w:r>
      <w:r w:rsidR="00705F95" w:rsidRPr="00D61261">
        <w:rPr>
          <w:rFonts w:ascii="Arial" w:hAnsi="Arial" w:cs="Arial"/>
          <w:sz w:val="22"/>
          <w:szCs w:val="22"/>
        </w:rPr>
        <w:t xml:space="preserve">Brady </w:t>
      </w:r>
      <w:r w:rsidR="00705F95" w:rsidRPr="00D61261">
        <w:rPr>
          <w:rFonts w:ascii="Arial" w:hAnsi="Arial" w:cs="Arial"/>
          <w:i/>
          <w:iCs/>
          <w:sz w:val="22"/>
          <w:szCs w:val="22"/>
        </w:rPr>
        <w:t>et al.</w:t>
      </w:r>
      <w:r w:rsidR="00705F95" w:rsidRPr="00D61261">
        <w:rPr>
          <w:rFonts w:ascii="Arial" w:hAnsi="Arial" w:cs="Arial"/>
          <w:sz w:val="22"/>
          <w:szCs w:val="22"/>
        </w:rPr>
        <w:t xml:space="preserve">, </w:t>
      </w:r>
      <w:r w:rsidR="00705F95" w:rsidRPr="00D61261">
        <w:rPr>
          <w:rFonts w:ascii="Arial" w:hAnsi="Arial" w:cs="Arial"/>
          <w:i/>
          <w:iCs/>
          <w:sz w:val="22"/>
          <w:szCs w:val="22"/>
        </w:rPr>
        <w:t xml:space="preserve">J. Am. </w:t>
      </w:r>
      <w:r w:rsidR="00705F95" w:rsidRPr="00E651A8">
        <w:rPr>
          <w:rFonts w:ascii="Arial" w:hAnsi="Arial" w:cs="Arial"/>
          <w:i/>
          <w:iCs/>
          <w:sz w:val="22"/>
          <w:szCs w:val="22"/>
          <w:lang w:val="it-IT"/>
        </w:rPr>
        <w:t xml:space="preserve">Chem. Soc. </w:t>
      </w:r>
      <w:r w:rsidR="00705F95" w:rsidRPr="00E651A8">
        <w:rPr>
          <w:rFonts w:ascii="Arial" w:hAnsi="Arial" w:cs="Arial"/>
          <w:sz w:val="22"/>
          <w:szCs w:val="22"/>
          <w:lang w:val="it-IT"/>
        </w:rPr>
        <w:t>2018, 140, 45, 15384–15392</w:t>
      </w:r>
      <w:r w:rsidR="00C66999">
        <w:rPr>
          <w:rFonts w:ascii="Arial" w:hAnsi="Arial" w:cs="Arial"/>
          <w:sz w:val="22"/>
          <w:szCs w:val="22"/>
          <w:lang w:val="it-IT"/>
        </w:rPr>
        <w:t>.</w:t>
      </w:r>
      <w:r w:rsidR="00705F95" w:rsidRPr="00E651A8">
        <w:rPr>
          <w:rFonts w:ascii="Arial" w:hAnsi="Arial" w:cs="Arial"/>
          <w:sz w:val="22"/>
          <w:szCs w:val="22"/>
          <w:lang w:val="it-IT"/>
        </w:rPr>
        <w:t xml:space="preserve"> </w:t>
      </w:r>
      <w:r w:rsidR="00E651A8" w:rsidRPr="00E651A8">
        <w:rPr>
          <w:rFonts w:ascii="Arial" w:hAnsi="Arial" w:cs="Arial"/>
          <w:sz w:val="22"/>
          <w:szCs w:val="22"/>
          <w:lang w:val="it-IT"/>
        </w:rPr>
        <w:br/>
      </w:r>
      <w:r w:rsidR="009B5BFA" w:rsidRPr="009B5BFA">
        <w:rPr>
          <w:rFonts w:ascii="Arial" w:hAnsi="Arial" w:cs="Arial"/>
          <w:sz w:val="22"/>
          <w:szCs w:val="22"/>
          <w:lang w:val="it-IT"/>
        </w:rPr>
        <w:t>[</w:t>
      </w:r>
      <w:r w:rsidR="00E651A8">
        <w:rPr>
          <w:rFonts w:ascii="Arial" w:hAnsi="Arial" w:cs="Arial"/>
          <w:sz w:val="22"/>
          <w:szCs w:val="22"/>
          <w:lang w:val="it-IT"/>
        </w:rPr>
        <w:t>6</w:t>
      </w:r>
      <w:r w:rsidR="009B5BFA" w:rsidRPr="009B5BFA">
        <w:rPr>
          <w:rFonts w:ascii="Arial" w:hAnsi="Arial" w:cs="Arial"/>
          <w:sz w:val="22"/>
          <w:szCs w:val="22"/>
          <w:lang w:val="it-IT"/>
        </w:rPr>
        <w:t xml:space="preserve">] </w:t>
      </w:r>
      <w:r w:rsidR="009B5BFA" w:rsidRPr="009B5BFA">
        <w:rPr>
          <w:rFonts w:ascii="Arial" w:hAnsi="Arial" w:cs="Arial"/>
          <w:sz w:val="22"/>
          <w:szCs w:val="22"/>
          <w:lang w:val="it-IT"/>
        </w:rPr>
        <w:tab/>
        <w:t>G.</w:t>
      </w:r>
      <w:r w:rsidR="009B5BFA">
        <w:rPr>
          <w:rFonts w:ascii="Arial" w:hAnsi="Arial" w:cs="Arial"/>
          <w:sz w:val="22"/>
          <w:szCs w:val="22"/>
          <w:lang w:val="it-IT"/>
        </w:rPr>
        <w:t xml:space="preserve"> Fabrini</w:t>
      </w:r>
      <w:r w:rsidR="009B5BFA" w:rsidRPr="009B5BFA">
        <w:rPr>
          <w:rFonts w:ascii="Arial" w:hAnsi="Arial" w:cs="Arial"/>
          <w:sz w:val="22"/>
          <w:szCs w:val="22"/>
          <w:lang w:val="it-IT"/>
        </w:rPr>
        <w:t xml:space="preserve"> </w:t>
      </w:r>
      <w:r w:rsidR="009B5BFA" w:rsidRPr="009B5BFA">
        <w:rPr>
          <w:rFonts w:ascii="Arial" w:hAnsi="Arial" w:cs="Arial"/>
          <w:i/>
          <w:iCs/>
          <w:sz w:val="22"/>
          <w:szCs w:val="22"/>
          <w:lang w:val="it-IT"/>
        </w:rPr>
        <w:t>et al.</w:t>
      </w:r>
      <w:r w:rsidR="009B5BFA" w:rsidRPr="009B5BFA">
        <w:rPr>
          <w:rFonts w:ascii="Arial" w:hAnsi="Arial" w:cs="Arial"/>
          <w:sz w:val="22"/>
          <w:szCs w:val="22"/>
          <w:lang w:val="it-IT"/>
        </w:rPr>
        <w:t xml:space="preserve">, </w:t>
      </w:r>
      <w:r w:rsidR="009B5BFA" w:rsidRPr="00D5303F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Nano Lett.</w:t>
      </w:r>
      <w:r w:rsidR="009B5BFA" w:rsidRPr="00D5303F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 </w:t>
      </w:r>
      <w:r w:rsidR="009B5BFA">
        <w:rPr>
          <w:rFonts w:ascii="Arial" w:hAnsi="Arial" w:cs="Arial"/>
          <w:color w:val="000000"/>
          <w:sz w:val="22"/>
          <w:szCs w:val="22"/>
          <w:lang w:val="it-IT"/>
        </w:rPr>
        <w:t>2022</w:t>
      </w:r>
      <w:r w:rsidR="009B5BFA" w:rsidRPr="00D5303F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D37A25" w:rsidRPr="00D37A25">
        <w:rPr>
          <w:rStyle w:val="cit-volume"/>
          <w:rFonts w:ascii="Arial" w:hAnsi="Arial" w:cs="Arial"/>
          <w:color w:val="000000"/>
          <w:sz w:val="22"/>
          <w:szCs w:val="22"/>
          <w:lang w:val="it-IT"/>
        </w:rPr>
        <w:t>22</w:t>
      </w:r>
      <w:r w:rsidR="00D37A25" w:rsidRPr="00D37A25">
        <w:rPr>
          <w:rStyle w:val="cit-issue"/>
          <w:rFonts w:ascii="Arial" w:hAnsi="Arial" w:cs="Arial"/>
          <w:color w:val="000000"/>
          <w:sz w:val="22"/>
          <w:szCs w:val="22"/>
          <w:lang w:val="it-IT"/>
        </w:rPr>
        <w:t>, 2</w:t>
      </w:r>
      <w:r w:rsidR="00D37A25" w:rsidRPr="00D37A25">
        <w:rPr>
          <w:rStyle w:val="cit-pagerange"/>
          <w:rFonts w:ascii="Arial" w:hAnsi="Arial" w:cs="Arial"/>
          <w:color w:val="000000"/>
          <w:sz w:val="22"/>
          <w:szCs w:val="22"/>
          <w:lang w:val="it-IT"/>
        </w:rPr>
        <w:t>, 602–611</w:t>
      </w:r>
      <w:r w:rsidR="00C66999">
        <w:rPr>
          <w:rStyle w:val="cit-pagerange"/>
          <w:rFonts w:ascii="Arial" w:hAnsi="Arial" w:cs="Arial"/>
          <w:color w:val="000000"/>
          <w:sz w:val="22"/>
          <w:szCs w:val="22"/>
          <w:lang w:val="it-IT"/>
        </w:rPr>
        <w:t>.</w:t>
      </w:r>
    </w:p>
    <w:sectPr w:rsidR="009B5BFA" w:rsidRPr="00C66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153C" w14:textId="77777777" w:rsidR="00C00649" w:rsidRDefault="00C00649" w:rsidP="00D14509">
      <w:r>
        <w:separator/>
      </w:r>
    </w:p>
  </w:endnote>
  <w:endnote w:type="continuationSeparator" w:id="0">
    <w:p w14:paraId="5F13C68A" w14:textId="77777777" w:rsidR="00C00649" w:rsidRDefault="00C00649" w:rsidP="00D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B63A" w14:textId="77777777" w:rsidR="00D14509" w:rsidRDefault="00D14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78A0" w14:textId="77777777" w:rsidR="00D14509" w:rsidRDefault="00D14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6867" w14:textId="77777777" w:rsidR="00D14509" w:rsidRDefault="00D14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BE37" w14:textId="77777777" w:rsidR="00C00649" w:rsidRDefault="00C00649" w:rsidP="00D14509">
      <w:r>
        <w:separator/>
      </w:r>
    </w:p>
  </w:footnote>
  <w:footnote w:type="continuationSeparator" w:id="0">
    <w:p w14:paraId="757F3155" w14:textId="77777777" w:rsidR="00C00649" w:rsidRDefault="00C00649" w:rsidP="00D1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F09C" w14:textId="77777777" w:rsidR="00D14509" w:rsidRDefault="00D14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77AE" w14:textId="77777777" w:rsidR="00D14509" w:rsidRDefault="00D14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051" w14:textId="77777777" w:rsidR="00D14509" w:rsidRDefault="00D14509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005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F27B5"/>
    <w:multiLevelType w:val="hybridMultilevel"/>
    <w:tmpl w:val="0C9E4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A"/>
    <w:rsid w:val="0001297B"/>
    <w:rsid w:val="00017E50"/>
    <w:rsid w:val="00053B22"/>
    <w:rsid w:val="000546D8"/>
    <w:rsid w:val="0007521D"/>
    <w:rsid w:val="00075FD2"/>
    <w:rsid w:val="00080D0D"/>
    <w:rsid w:val="000824E7"/>
    <w:rsid w:val="00084638"/>
    <w:rsid w:val="0009000A"/>
    <w:rsid w:val="00091DAB"/>
    <w:rsid w:val="000A2446"/>
    <w:rsid w:val="000B046C"/>
    <w:rsid w:val="000D0F92"/>
    <w:rsid w:val="000D34F6"/>
    <w:rsid w:val="000E3B10"/>
    <w:rsid w:val="001037C8"/>
    <w:rsid w:val="00104B23"/>
    <w:rsid w:val="001226CE"/>
    <w:rsid w:val="00136E0A"/>
    <w:rsid w:val="001420C2"/>
    <w:rsid w:val="0015676A"/>
    <w:rsid w:val="00170DC4"/>
    <w:rsid w:val="00180A00"/>
    <w:rsid w:val="001900A1"/>
    <w:rsid w:val="001B318E"/>
    <w:rsid w:val="001C5FFE"/>
    <w:rsid w:val="001D40C1"/>
    <w:rsid w:val="001F7CDF"/>
    <w:rsid w:val="00214CEB"/>
    <w:rsid w:val="0022234E"/>
    <w:rsid w:val="00226D9F"/>
    <w:rsid w:val="00235FD9"/>
    <w:rsid w:val="00246E2E"/>
    <w:rsid w:val="00255975"/>
    <w:rsid w:val="00264DE1"/>
    <w:rsid w:val="00270EDE"/>
    <w:rsid w:val="00272A3A"/>
    <w:rsid w:val="002804EE"/>
    <w:rsid w:val="00296E14"/>
    <w:rsid w:val="002A0D90"/>
    <w:rsid w:val="002A5855"/>
    <w:rsid w:val="002C04BD"/>
    <w:rsid w:val="002D2266"/>
    <w:rsid w:val="002D75D1"/>
    <w:rsid w:val="002E14CB"/>
    <w:rsid w:val="002E5855"/>
    <w:rsid w:val="00300744"/>
    <w:rsid w:val="0030142E"/>
    <w:rsid w:val="003054AA"/>
    <w:rsid w:val="00305523"/>
    <w:rsid w:val="00305B91"/>
    <w:rsid w:val="003135F6"/>
    <w:rsid w:val="003542A8"/>
    <w:rsid w:val="00355437"/>
    <w:rsid w:val="00363E26"/>
    <w:rsid w:val="003648B5"/>
    <w:rsid w:val="003724CF"/>
    <w:rsid w:val="00374FC1"/>
    <w:rsid w:val="00375BC5"/>
    <w:rsid w:val="00380F44"/>
    <w:rsid w:val="00383A4F"/>
    <w:rsid w:val="003864D2"/>
    <w:rsid w:val="00387F07"/>
    <w:rsid w:val="00390233"/>
    <w:rsid w:val="003948F2"/>
    <w:rsid w:val="003B0477"/>
    <w:rsid w:val="003B5AA2"/>
    <w:rsid w:val="003B7A13"/>
    <w:rsid w:val="003E4812"/>
    <w:rsid w:val="003F7602"/>
    <w:rsid w:val="00407EC5"/>
    <w:rsid w:val="00412D19"/>
    <w:rsid w:val="004159E2"/>
    <w:rsid w:val="00427903"/>
    <w:rsid w:val="00427CF9"/>
    <w:rsid w:val="00435D02"/>
    <w:rsid w:val="00437692"/>
    <w:rsid w:val="00446F1B"/>
    <w:rsid w:val="00453C94"/>
    <w:rsid w:val="004726D3"/>
    <w:rsid w:val="00492C9D"/>
    <w:rsid w:val="004B232F"/>
    <w:rsid w:val="004B5371"/>
    <w:rsid w:val="004B75E0"/>
    <w:rsid w:val="004E0236"/>
    <w:rsid w:val="004F3A9A"/>
    <w:rsid w:val="005029B4"/>
    <w:rsid w:val="005119E5"/>
    <w:rsid w:val="005239B4"/>
    <w:rsid w:val="00535773"/>
    <w:rsid w:val="00542B8E"/>
    <w:rsid w:val="005472A8"/>
    <w:rsid w:val="00570D56"/>
    <w:rsid w:val="00575E6B"/>
    <w:rsid w:val="00581A5B"/>
    <w:rsid w:val="00584C57"/>
    <w:rsid w:val="005A5976"/>
    <w:rsid w:val="005A5EBF"/>
    <w:rsid w:val="005B1B00"/>
    <w:rsid w:val="005D0F41"/>
    <w:rsid w:val="005E3886"/>
    <w:rsid w:val="005F6044"/>
    <w:rsid w:val="0061672C"/>
    <w:rsid w:val="006470DB"/>
    <w:rsid w:val="006573AC"/>
    <w:rsid w:val="006575FE"/>
    <w:rsid w:val="006626AE"/>
    <w:rsid w:val="00675D16"/>
    <w:rsid w:val="006869EB"/>
    <w:rsid w:val="006B013C"/>
    <w:rsid w:val="006B2274"/>
    <w:rsid w:val="006B2974"/>
    <w:rsid w:val="006D584C"/>
    <w:rsid w:val="006E7D23"/>
    <w:rsid w:val="006F5D4F"/>
    <w:rsid w:val="006F699A"/>
    <w:rsid w:val="00705F95"/>
    <w:rsid w:val="0070731F"/>
    <w:rsid w:val="007112F1"/>
    <w:rsid w:val="0073044B"/>
    <w:rsid w:val="007552BB"/>
    <w:rsid w:val="007777D9"/>
    <w:rsid w:val="007839FE"/>
    <w:rsid w:val="00784D05"/>
    <w:rsid w:val="007A0118"/>
    <w:rsid w:val="007A1748"/>
    <w:rsid w:val="007D0DF8"/>
    <w:rsid w:val="007E2FA1"/>
    <w:rsid w:val="00802955"/>
    <w:rsid w:val="00805959"/>
    <w:rsid w:val="00832A33"/>
    <w:rsid w:val="00842D62"/>
    <w:rsid w:val="00863302"/>
    <w:rsid w:val="00887C49"/>
    <w:rsid w:val="008A029E"/>
    <w:rsid w:val="008C61D7"/>
    <w:rsid w:val="008D2D53"/>
    <w:rsid w:val="008E2F0A"/>
    <w:rsid w:val="008F0868"/>
    <w:rsid w:val="00930B86"/>
    <w:rsid w:val="0093542C"/>
    <w:rsid w:val="00947DCB"/>
    <w:rsid w:val="00952E07"/>
    <w:rsid w:val="00974A3F"/>
    <w:rsid w:val="00987572"/>
    <w:rsid w:val="0099108F"/>
    <w:rsid w:val="0099257E"/>
    <w:rsid w:val="009B5BFA"/>
    <w:rsid w:val="009C05C1"/>
    <w:rsid w:val="009D377E"/>
    <w:rsid w:val="009E0BFE"/>
    <w:rsid w:val="00A20AE1"/>
    <w:rsid w:val="00A20B02"/>
    <w:rsid w:val="00A50B59"/>
    <w:rsid w:val="00A55B56"/>
    <w:rsid w:val="00A656E4"/>
    <w:rsid w:val="00A7211B"/>
    <w:rsid w:val="00A73574"/>
    <w:rsid w:val="00A81F89"/>
    <w:rsid w:val="00A82E96"/>
    <w:rsid w:val="00AA37F8"/>
    <w:rsid w:val="00AB2D83"/>
    <w:rsid w:val="00AB776B"/>
    <w:rsid w:val="00AD1BDD"/>
    <w:rsid w:val="00AD4492"/>
    <w:rsid w:val="00AD6450"/>
    <w:rsid w:val="00AE0789"/>
    <w:rsid w:val="00AE0B9F"/>
    <w:rsid w:val="00AF7E59"/>
    <w:rsid w:val="00B07D75"/>
    <w:rsid w:val="00B44F09"/>
    <w:rsid w:val="00B46007"/>
    <w:rsid w:val="00B53EC4"/>
    <w:rsid w:val="00B57F5B"/>
    <w:rsid w:val="00B63622"/>
    <w:rsid w:val="00B6616E"/>
    <w:rsid w:val="00B851B4"/>
    <w:rsid w:val="00B873EA"/>
    <w:rsid w:val="00B9643A"/>
    <w:rsid w:val="00BB5641"/>
    <w:rsid w:val="00BB634E"/>
    <w:rsid w:val="00BC07D4"/>
    <w:rsid w:val="00BC7BD2"/>
    <w:rsid w:val="00BD381D"/>
    <w:rsid w:val="00BD7AA8"/>
    <w:rsid w:val="00BF0560"/>
    <w:rsid w:val="00C00649"/>
    <w:rsid w:val="00C06545"/>
    <w:rsid w:val="00C27420"/>
    <w:rsid w:val="00C2788A"/>
    <w:rsid w:val="00C32994"/>
    <w:rsid w:val="00C337E8"/>
    <w:rsid w:val="00C45B68"/>
    <w:rsid w:val="00C62777"/>
    <w:rsid w:val="00C62AAF"/>
    <w:rsid w:val="00C66999"/>
    <w:rsid w:val="00C66BC7"/>
    <w:rsid w:val="00C70DEB"/>
    <w:rsid w:val="00C75015"/>
    <w:rsid w:val="00C83DE7"/>
    <w:rsid w:val="00CB0379"/>
    <w:rsid w:val="00CB6D1A"/>
    <w:rsid w:val="00CD29C1"/>
    <w:rsid w:val="00CD2C06"/>
    <w:rsid w:val="00CD6D10"/>
    <w:rsid w:val="00CE1E2E"/>
    <w:rsid w:val="00CF40A5"/>
    <w:rsid w:val="00D05562"/>
    <w:rsid w:val="00D0711A"/>
    <w:rsid w:val="00D14509"/>
    <w:rsid w:val="00D37A25"/>
    <w:rsid w:val="00D37EFC"/>
    <w:rsid w:val="00D50F11"/>
    <w:rsid w:val="00D5303F"/>
    <w:rsid w:val="00D61261"/>
    <w:rsid w:val="00D6601D"/>
    <w:rsid w:val="00D75100"/>
    <w:rsid w:val="00D830AB"/>
    <w:rsid w:val="00D92E48"/>
    <w:rsid w:val="00DC7C8F"/>
    <w:rsid w:val="00DE71C5"/>
    <w:rsid w:val="00DF2CA9"/>
    <w:rsid w:val="00E0374B"/>
    <w:rsid w:val="00E071FC"/>
    <w:rsid w:val="00E16FA3"/>
    <w:rsid w:val="00E23A30"/>
    <w:rsid w:val="00E40E63"/>
    <w:rsid w:val="00E40F54"/>
    <w:rsid w:val="00E428E2"/>
    <w:rsid w:val="00E432BD"/>
    <w:rsid w:val="00E50E31"/>
    <w:rsid w:val="00E64F5D"/>
    <w:rsid w:val="00E651A8"/>
    <w:rsid w:val="00E711AA"/>
    <w:rsid w:val="00E7492F"/>
    <w:rsid w:val="00E920A5"/>
    <w:rsid w:val="00EA0519"/>
    <w:rsid w:val="00EC010F"/>
    <w:rsid w:val="00EC2F37"/>
    <w:rsid w:val="00EC35D3"/>
    <w:rsid w:val="00EC4EE2"/>
    <w:rsid w:val="00ED1621"/>
    <w:rsid w:val="00ED578C"/>
    <w:rsid w:val="00EE31B1"/>
    <w:rsid w:val="00EE462D"/>
    <w:rsid w:val="00EF5E9B"/>
    <w:rsid w:val="00EF5FC2"/>
    <w:rsid w:val="00F01FFA"/>
    <w:rsid w:val="00F03302"/>
    <w:rsid w:val="00F07CB5"/>
    <w:rsid w:val="00F10C4D"/>
    <w:rsid w:val="00F1518F"/>
    <w:rsid w:val="00F163D0"/>
    <w:rsid w:val="00F22D22"/>
    <w:rsid w:val="00F26B32"/>
    <w:rsid w:val="00F367A8"/>
    <w:rsid w:val="00F54863"/>
    <w:rsid w:val="00F60A38"/>
    <w:rsid w:val="00F6235E"/>
    <w:rsid w:val="00F75F95"/>
    <w:rsid w:val="00FA0AF6"/>
    <w:rsid w:val="00FA65B4"/>
    <w:rsid w:val="00FB2A88"/>
    <w:rsid w:val="00FD15AC"/>
    <w:rsid w:val="00FE4B5D"/>
    <w:rsid w:val="00FE6BC0"/>
    <w:rsid w:val="00FF33F7"/>
    <w:rsid w:val="00FF4C7E"/>
    <w:rsid w:val="5F4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92351B"/>
  <w15:chartTrackingRefBased/>
  <w15:docId w15:val="{1BD052E0-15BB-2E4F-8E37-295EE72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EndnoteReference">
    <w:name w:val="endnote reference"/>
    <w:uiPriority w:val="99"/>
    <w:unhideWhenUsed/>
    <w:rPr>
      <w:vertAlign w:val="superscript"/>
    </w:rPr>
  </w:style>
  <w:style w:type="character" w:customStyle="1" w:styleId="CommentTextChar">
    <w:name w:val="Comment Text Char"/>
    <w:link w:val="CommentText"/>
    <w:uiPriority w:val="99"/>
    <w:semiHidden/>
    <w:qFormat/>
    <w:rPr>
      <w:sz w:val="20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EndnoteTextChar">
    <w:name w:val="Endnote Text Char"/>
    <w:link w:val="EndnoteText"/>
    <w:uiPriority w:val="99"/>
    <w:semiHidden/>
    <w:qFormat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="Calibri" w:eastAsia="Calibri" w:hAnsi="Calibr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eastAsia="Calibri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Pr>
      <w:rFonts w:ascii="Calibri" w:eastAsia="Calibri" w:hAnsi="Calibr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4509"/>
    <w:pPr>
      <w:tabs>
        <w:tab w:val="center" w:pos="4513"/>
        <w:tab w:val="right" w:pos="9026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45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4509"/>
    <w:pPr>
      <w:tabs>
        <w:tab w:val="center" w:pos="4513"/>
        <w:tab w:val="right" w:pos="9026"/>
      </w:tabs>
    </w:pPr>
    <w:rPr>
      <w:rFonts w:ascii="Calibri" w:eastAsia="Calibri" w:hAnsi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450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1450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14509"/>
    <w:rPr>
      <w:i/>
      <w:iCs/>
    </w:rPr>
  </w:style>
  <w:style w:type="character" w:styleId="Hyperlink">
    <w:name w:val="Hyperlink"/>
    <w:uiPriority w:val="99"/>
    <w:unhideWhenUsed/>
    <w:rsid w:val="00D1450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5F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volume">
    <w:name w:val="cit-volume"/>
    <w:basedOn w:val="DefaultParagraphFont"/>
    <w:rsid w:val="00D37A25"/>
  </w:style>
  <w:style w:type="character" w:customStyle="1" w:styleId="cit-issue">
    <w:name w:val="cit-issue"/>
    <w:basedOn w:val="DefaultParagraphFont"/>
    <w:rsid w:val="00D37A25"/>
  </w:style>
  <w:style w:type="character" w:customStyle="1" w:styleId="cit-pagerange">
    <w:name w:val="cit-pagerange"/>
    <w:basedOn w:val="DefaultParagraphFont"/>
    <w:rsid w:val="00D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c8302c1b33724737" Type="http://schemas.microsoft.com/office/2019/09/relationships/intelligence" Target="intelligenc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F0B0-012D-46FD-B397-9C56A832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2501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</dc:creator>
  <cp:keywords/>
  <cp:lastModifiedBy>Fabrini, Giacomo</cp:lastModifiedBy>
  <cp:revision>13</cp:revision>
  <cp:lastPrinted>2018-02-28T15:46:00Z</cp:lastPrinted>
  <dcterms:created xsi:type="dcterms:W3CDTF">2022-02-14T13:56:00Z</dcterms:created>
  <dcterms:modified xsi:type="dcterms:W3CDTF">2022-02-15T13:06:00Z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